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综合评分表</w:t>
      </w:r>
    </w:p>
    <w:tbl>
      <w:tblPr>
        <w:tblStyle w:val="5"/>
        <w:tblW w:w="939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0"/>
        <w:gridCol w:w="1187"/>
        <w:gridCol w:w="583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（35分）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类似业绩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近三年业绩证明：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以招标代理合同签订日期为准，招标代理机构代理过物业类似采购项目业绩，每个业绩得5分。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（提供代理合同及招标公告网站截图等证明材料）。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项目组织机构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机构人员配置</w:t>
            </w:r>
          </w:p>
        </w:tc>
        <w:tc>
          <w:tcPr>
            <w:tcW w:w="58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须是宿州市公共资源交易中心中介机构人员（每提供一个得2分，最多得10分）。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派项目负责人：具有安徽省招标采购协会颁发证书得3分；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拟派项目负责人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提供投标人为其连续缴纳的至少一个月的社保承诺函得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以上证明资料须加盖公章。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招标代理服务方案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服务方案</w:t>
            </w:r>
          </w:p>
        </w:tc>
        <w:tc>
          <w:tcPr>
            <w:tcW w:w="58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（1）招标代理服务质量控制及保证措施，6分；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（2）招标代理服务主要程序及流程，5分；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（3）招标代理服务进度控制措施，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（4）招标代理服务合同与档案管理，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（5）保证工程量清单编制和最高限价编制的规范性和准确性的措施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（6）招标代理工作制度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（7）招标代理的售后体系及服务承诺3分；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（8）廉洁从业措施3分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（9）保密措施3分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（10）针对招标人采购招标的重点难点分析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由评委会根据上述服务方案内容从合理性、专业性、可操作性等方面酌情打分。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报价评审（15分）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报价</w:t>
            </w:r>
          </w:p>
        </w:tc>
        <w:tc>
          <w:tcPr>
            <w:tcW w:w="58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招标代理服务费取费依据：按照国家计委计价格[2002]1980号文规定的收费标准为依据（服务招标），投标人自报折扣率:    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评标基准价（折扣率）为：各投标人有效报价（折扣率）的最低值。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各投标人的所报折扣率与评选基准折扣率相比，每高1%扣0.1分，最低得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2FD73"/>
    <w:multiLevelType w:val="singleLevel"/>
    <w:tmpl w:val="62E2FD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34CE"/>
    <w:rsid w:val="07B637C1"/>
    <w:rsid w:val="09612CA9"/>
    <w:rsid w:val="19DF1DF1"/>
    <w:rsid w:val="3FE234CE"/>
    <w:rsid w:val="7F771683"/>
    <w:rsid w:val="EF7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656</Characters>
  <Lines>0</Lines>
  <Paragraphs>0</Paragraphs>
  <TotalTime>17</TotalTime>
  <ScaleCrop>false</ScaleCrop>
  <LinksUpToDate>false</LinksUpToDate>
  <CharactersWithSpaces>701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2025-04-09T23:46:00Z</dcterms:created>
  <dc:creator>小蕊</dc:creator>
  <cp:lastModifiedBy>m4000s</cp:lastModifiedBy>
  <dcterms:modified xsi:type="dcterms:W3CDTF">2025-04-11T09:17:56Z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8FC54C41E00B7923A5DCF867BD72B521</vt:lpwstr>
  </property>
  <property fmtid="{D5CDD505-2E9C-101B-9397-08002B2CF9AE}" pid="4" name="KSOTemplateDocerSaveRecord">
    <vt:lpwstr>eyJoZGlkIjoiMWNmZmQ2OGRiZjJiMzkwOTM5NDU0Nzk3MTc5ODRjYTciLCJ1c2VySWQiOiI3NzAxMDk3MTMifQ==</vt:lpwstr>
  </property>
</Properties>
</file>